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4E" w:rsidRPr="00D86977" w:rsidRDefault="005D1C45" w:rsidP="005D1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77">
        <w:rPr>
          <w:rFonts w:ascii="Times New Roman" w:hAnsi="Times New Roman" w:cs="Times New Roman"/>
          <w:b/>
          <w:sz w:val="28"/>
          <w:szCs w:val="28"/>
        </w:rPr>
        <w:t>Показатели оценки эффективности деятельности</w:t>
      </w:r>
      <w:r w:rsidR="007C754E" w:rsidRPr="00D86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977">
        <w:rPr>
          <w:rFonts w:ascii="Times New Roman" w:hAnsi="Times New Roman" w:cs="Times New Roman"/>
          <w:b/>
          <w:sz w:val="28"/>
          <w:szCs w:val="28"/>
        </w:rPr>
        <w:t>руководителя ФНС России</w:t>
      </w:r>
    </w:p>
    <w:p w:rsidR="005D1C45" w:rsidRPr="00D86977" w:rsidRDefault="005D1C45" w:rsidP="005D1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77">
        <w:rPr>
          <w:rFonts w:ascii="Times New Roman" w:hAnsi="Times New Roman" w:cs="Times New Roman"/>
          <w:b/>
          <w:sz w:val="28"/>
          <w:szCs w:val="28"/>
        </w:rPr>
        <w:t>по созданию благоприятных условий</w:t>
      </w:r>
      <w:r w:rsidR="007C754E" w:rsidRPr="00D86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977">
        <w:rPr>
          <w:rFonts w:ascii="Times New Roman" w:hAnsi="Times New Roman" w:cs="Times New Roman"/>
          <w:b/>
          <w:sz w:val="28"/>
          <w:szCs w:val="28"/>
        </w:rPr>
        <w:t>ведения предпринимательской деятельности</w:t>
      </w:r>
    </w:p>
    <w:p w:rsidR="005D1C45" w:rsidRDefault="005D1C45" w:rsidP="005D1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77">
        <w:rPr>
          <w:rFonts w:ascii="Times New Roman" w:hAnsi="Times New Roman" w:cs="Times New Roman"/>
          <w:b/>
          <w:sz w:val="28"/>
          <w:szCs w:val="28"/>
        </w:rPr>
        <w:t>в 201</w:t>
      </w:r>
      <w:r w:rsidR="007C754E" w:rsidRPr="00D86977">
        <w:rPr>
          <w:rFonts w:ascii="Times New Roman" w:hAnsi="Times New Roman" w:cs="Times New Roman"/>
          <w:b/>
          <w:sz w:val="28"/>
          <w:szCs w:val="28"/>
        </w:rPr>
        <w:t>4</w:t>
      </w:r>
      <w:r w:rsidRPr="00D8697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D86977" w:rsidRPr="00D86977" w:rsidRDefault="00D86977" w:rsidP="005D1C4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792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5"/>
        <w:gridCol w:w="2331"/>
        <w:gridCol w:w="2127"/>
        <w:gridCol w:w="2459"/>
      </w:tblGrid>
      <w:tr w:rsidR="005D1C45" w:rsidRPr="007C754E" w:rsidTr="00D86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D1C45" w:rsidRPr="00D86977" w:rsidRDefault="005D1C45" w:rsidP="000A17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D1C45" w:rsidRPr="00D86977" w:rsidRDefault="005D1C45" w:rsidP="000A17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D1C45" w:rsidRPr="00D86977" w:rsidRDefault="005D1C45" w:rsidP="000A17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Целевое знач</w:t>
            </w:r>
            <w:bookmarkStart w:id="0" w:name="_GoBack"/>
            <w:bookmarkEnd w:id="0"/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D1C45" w:rsidRPr="00D86977" w:rsidRDefault="005D1C45" w:rsidP="000A17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5D1C45" w:rsidRPr="007C754E" w:rsidTr="00D86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2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D1C45" w:rsidRPr="00D86977" w:rsidRDefault="005D1C45" w:rsidP="000A17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VI. Оптимизация процедуры государственной регистрации юридических лиц</w:t>
            </w:r>
          </w:p>
        </w:tc>
      </w:tr>
      <w:tr w:rsidR="007C754E" w:rsidRPr="007C754E" w:rsidTr="00D86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0A17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21. Предельный срок осуществления регистрации общества с ограниченной ответственностью территориальными органами ФНС России</w:t>
            </w:r>
          </w:p>
        </w:tc>
        <w:tc>
          <w:tcPr>
            <w:tcW w:w="2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0A17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1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7C75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7C75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754E" w:rsidRPr="007C754E" w:rsidTr="00D86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0A17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22. Доля налогоплательщиков, имеющих возможность доступа по каналам связи и через Интернет к персонифицированной информации о состоянии расчета с бюджетом</w:t>
            </w:r>
          </w:p>
        </w:tc>
        <w:tc>
          <w:tcPr>
            <w:tcW w:w="2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0A17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7C75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7C75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D1C45" w:rsidRPr="007C754E" w:rsidTr="00D86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2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D1C45" w:rsidRPr="00D86977" w:rsidRDefault="005D1C45" w:rsidP="000A17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VII. Совершенствование налогового администрирования</w:t>
            </w:r>
          </w:p>
        </w:tc>
      </w:tr>
      <w:tr w:rsidR="007C754E" w:rsidRPr="007C754E" w:rsidTr="00D86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5D1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23. Предельное количество человеко-часов, затрачиваемое на деятельность, связанную с уплатой налогов, предприятиями малого и среднего бизнеса</w:t>
            </w: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0A17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1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7C75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7C75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 xml:space="preserve">77,22 </w:t>
            </w:r>
            <w:r w:rsidRPr="00D869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7C754E" w:rsidRPr="007C754E" w:rsidTr="00D86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0A17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24. Доля налогоплательщиков, удовлетворительно оценивающих качество работы налоговых органов</w:t>
            </w:r>
          </w:p>
        </w:tc>
        <w:tc>
          <w:tcPr>
            <w:tcW w:w="2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0A17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7C75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C754E" w:rsidRPr="00D86977" w:rsidRDefault="007C754E" w:rsidP="007C75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77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</w:tr>
    </w:tbl>
    <w:p w:rsidR="005D1C45" w:rsidRPr="007C754E" w:rsidRDefault="005D1C45" w:rsidP="005D1C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1C45" w:rsidRPr="005D1C45" w:rsidRDefault="005D1C45" w:rsidP="005D1C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54E">
        <w:rPr>
          <w:rFonts w:ascii="Times New Roman" w:hAnsi="Times New Roman" w:cs="Times New Roman"/>
        </w:rPr>
        <w:t>[1]</w:t>
      </w:r>
      <w:r w:rsidR="007C754E" w:rsidRPr="007C754E">
        <w:rPr>
          <w:rFonts w:ascii="Times New Roman" w:hAnsi="Times New Roman" w:cs="Times New Roman"/>
        </w:rPr>
        <w:t xml:space="preserve"> </w:t>
      </w:r>
      <w:r w:rsidRPr="005D1C45">
        <w:rPr>
          <w:rFonts w:ascii="Times New Roman" w:hAnsi="Times New Roman" w:cs="Times New Roman"/>
          <w:sz w:val="24"/>
          <w:szCs w:val="24"/>
        </w:rPr>
        <w:t>Указано значение показателя, полученного в результате социологического исследования, проведение которого было организовано ФНС России.</w:t>
      </w:r>
    </w:p>
    <w:p w:rsidR="005D1C45" w:rsidRPr="005D1C45" w:rsidRDefault="005D1C45" w:rsidP="005D1C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C45">
        <w:rPr>
          <w:rFonts w:ascii="Times New Roman" w:hAnsi="Times New Roman" w:cs="Times New Roman"/>
          <w:sz w:val="24"/>
          <w:szCs w:val="24"/>
        </w:rPr>
        <w:t xml:space="preserve">В соответствии с Методикой определения целевых значений показателей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деятельности, утвержденной распоряжением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10 апреля </w:t>
      </w:r>
      <w:r w:rsidR="007C754E">
        <w:rPr>
          <w:rFonts w:ascii="Times New Roman" w:hAnsi="Times New Roman" w:cs="Times New Roman"/>
          <w:sz w:val="24"/>
          <w:szCs w:val="24"/>
        </w:rPr>
        <w:t>2014</w:t>
      </w:r>
      <w:r w:rsidRPr="005D1C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C754E">
        <w:rPr>
          <w:rFonts w:ascii="Times New Roman" w:hAnsi="Times New Roman" w:cs="Times New Roman"/>
          <w:sz w:val="24"/>
          <w:szCs w:val="24"/>
        </w:rPr>
        <w:t>570</w:t>
      </w:r>
      <w:r w:rsidRPr="005D1C45">
        <w:rPr>
          <w:rFonts w:ascii="Times New Roman" w:hAnsi="Times New Roman" w:cs="Times New Roman"/>
          <w:sz w:val="24"/>
          <w:szCs w:val="24"/>
        </w:rPr>
        <w:t>-р, источником информации для определения фактического значения данного показателя, являются результаты социологического исследования Федеральной налоговой службы и данные ежегодного опроса Всемирного банка по теме «Налогообложение», публикуемые</w:t>
      </w:r>
      <w:proofErr w:type="gramEnd"/>
      <w:r w:rsidRPr="005D1C45">
        <w:rPr>
          <w:rFonts w:ascii="Times New Roman" w:hAnsi="Times New Roman" w:cs="Times New Roman"/>
          <w:sz w:val="24"/>
          <w:szCs w:val="24"/>
        </w:rPr>
        <w:t xml:space="preserve"> в докладе «Ведение бизнеса» </w:t>
      </w:r>
      <w:r w:rsidRPr="005D1C45">
        <w:rPr>
          <w:rFonts w:ascii="Times New Roman" w:hAnsi="Times New Roman" w:cs="Times New Roman"/>
          <w:i/>
          <w:iCs/>
          <w:sz w:val="24"/>
          <w:szCs w:val="24"/>
        </w:rPr>
        <w:t>за исключением времени, затрачиваемого налогоплательщиком в связи с исчислением и уплатой страховых взносов</w:t>
      </w:r>
      <w:r w:rsidRPr="005D1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C45" w:rsidRPr="00D86977" w:rsidRDefault="005D1C45" w:rsidP="00D869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C45">
        <w:rPr>
          <w:rFonts w:ascii="Times New Roman" w:hAnsi="Times New Roman" w:cs="Times New Roman"/>
          <w:sz w:val="24"/>
          <w:szCs w:val="24"/>
        </w:rPr>
        <w:t>Если значение показателя по разным источникам информации отличается, в качестве фактического значения показателя принимается наибольшее значение показателя.</w:t>
      </w:r>
    </w:p>
    <w:sectPr w:rsidR="005D1C45" w:rsidRPr="00D86977" w:rsidSect="00D8697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45"/>
    <w:rsid w:val="00516A7B"/>
    <w:rsid w:val="005D1C45"/>
    <w:rsid w:val="007C754E"/>
    <w:rsid w:val="00D86977"/>
    <w:rsid w:val="00F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C45"/>
    <w:rPr>
      <w:color w:val="0000FF" w:themeColor="hyperlink"/>
      <w:u w:val="single"/>
    </w:rPr>
  </w:style>
  <w:style w:type="character" w:styleId="a4">
    <w:name w:val="Emphasis"/>
    <w:basedOn w:val="a0"/>
    <w:uiPriority w:val="99"/>
    <w:qFormat/>
    <w:rsid w:val="005D1C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C45"/>
    <w:rPr>
      <w:color w:val="0000FF" w:themeColor="hyperlink"/>
      <w:u w:val="single"/>
    </w:rPr>
  </w:style>
  <w:style w:type="character" w:styleId="a4">
    <w:name w:val="Emphasis"/>
    <w:basedOn w:val="a0"/>
    <w:uiPriority w:val="99"/>
    <w:qFormat/>
    <w:rsid w:val="005D1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Галина Серафимовна</dc:creator>
  <cp:lastModifiedBy>Чернышева Галина Серафимовна</cp:lastModifiedBy>
  <cp:revision>2</cp:revision>
  <dcterms:created xsi:type="dcterms:W3CDTF">2016-02-29T15:25:00Z</dcterms:created>
  <dcterms:modified xsi:type="dcterms:W3CDTF">2016-03-01T13:34:00Z</dcterms:modified>
</cp:coreProperties>
</file>